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629F" w14:textId="77777777" w:rsidR="0059033F" w:rsidRPr="00243A2E" w:rsidRDefault="004C2611">
      <w:pPr>
        <w:rPr>
          <w:rFonts w:ascii="Calibri" w:hAnsi="Calibri" w:cs="Calibri"/>
        </w:rPr>
      </w:pPr>
      <w:r w:rsidRPr="00243A2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3C742B3F" wp14:editId="4FABDA24">
            <wp:simplePos x="0" y="0"/>
            <wp:positionH relativeFrom="margin">
              <wp:posOffset>-19050</wp:posOffset>
            </wp:positionH>
            <wp:positionV relativeFrom="paragraph">
              <wp:posOffset>-848360</wp:posOffset>
            </wp:positionV>
            <wp:extent cx="750627" cy="823889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27" cy="82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A2EB9" w14:textId="77777777" w:rsidR="0059033F" w:rsidRPr="00243A2E" w:rsidRDefault="0059033F" w:rsidP="0059033F">
      <w:pPr>
        <w:rPr>
          <w:rFonts w:ascii="Calibri" w:hAnsi="Calibri" w:cs="Calibri"/>
        </w:rPr>
      </w:pPr>
    </w:p>
    <w:p w14:paraId="2A0F5B8E" w14:textId="77777777" w:rsidR="0059033F" w:rsidRPr="00243A2E" w:rsidRDefault="0059033F" w:rsidP="0059033F">
      <w:pPr>
        <w:rPr>
          <w:rFonts w:ascii="Calibri" w:hAnsi="Calibri" w:cs="Calibri"/>
        </w:rPr>
      </w:pPr>
    </w:p>
    <w:p w14:paraId="6E7B7B1C" w14:textId="77777777" w:rsidR="00BA011E" w:rsidRDefault="0059033F" w:rsidP="0059033F">
      <w:pPr>
        <w:tabs>
          <w:tab w:val="left" w:pos="1095"/>
        </w:tabs>
        <w:jc w:val="center"/>
        <w:rPr>
          <w:rFonts w:ascii="Calibri" w:hAnsi="Calibri" w:cs="Calibri"/>
          <w:b/>
          <w:sz w:val="32"/>
          <w:szCs w:val="32"/>
        </w:rPr>
      </w:pPr>
      <w:r w:rsidRPr="00243A2E">
        <w:rPr>
          <w:rFonts w:ascii="Calibri" w:hAnsi="Calibri" w:cs="Calibri"/>
          <w:b/>
          <w:sz w:val="32"/>
          <w:szCs w:val="32"/>
        </w:rPr>
        <w:t xml:space="preserve">Master 2 </w:t>
      </w:r>
      <w:r w:rsidR="00F304CB" w:rsidRPr="00243A2E">
        <w:rPr>
          <w:rFonts w:ascii="Calibri" w:hAnsi="Calibri" w:cs="Calibri"/>
          <w:b/>
          <w:sz w:val="32"/>
          <w:szCs w:val="32"/>
        </w:rPr>
        <w:t>Parcours Contrats et contentieux d’affaires</w:t>
      </w:r>
      <w:r w:rsidR="00BA011E">
        <w:rPr>
          <w:rFonts w:ascii="Calibri" w:hAnsi="Calibri" w:cs="Calibri"/>
          <w:b/>
          <w:sz w:val="32"/>
          <w:szCs w:val="32"/>
        </w:rPr>
        <w:t xml:space="preserve"> </w:t>
      </w:r>
    </w:p>
    <w:p w14:paraId="2A382317" w14:textId="5D10F45D" w:rsidR="0059033F" w:rsidRPr="00243A2E" w:rsidRDefault="00BA011E" w:rsidP="0059033F">
      <w:pPr>
        <w:tabs>
          <w:tab w:val="left" w:pos="1095"/>
        </w:tabs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Master droit de l’entreprise</w:t>
      </w:r>
    </w:p>
    <w:p w14:paraId="46A6EE4A" w14:textId="4EBAE546" w:rsidR="0059033F" w:rsidRPr="00243A2E" w:rsidRDefault="0059033F" w:rsidP="0059033F">
      <w:pPr>
        <w:tabs>
          <w:tab w:val="left" w:pos="1095"/>
        </w:tabs>
        <w:jc w:val="center"/>
        <w:rPr>
          <w:rFonts w:ascii="Calibri" w:hAnsi="Calibri" w:cs="Calibri"/>
          <w:b/>
          <w:sz w:val="32"/>
          <w:szCs w:val="32"/>
        </w:rPr>
      </w:pPr>
      <w:r w:rsidRPr="00243A2E">
        <w:rPr>
          <w:rFonts w:ascii="Calibri" w:hAnsi="Calibri" w:cs="Calibri"/>
          <w:b/>
          <w:sz w:val="32"/>
          <w:szCs w:val="32"/>
        </w:rPr>
        <w:t>Règlement des études 2022-202</w:t>
      </w:r>
      <w:r w:rsidR="00F2335B">
        <w:rPr>
          <w:rFonts w:ascii="Calibri" w:hAnsi="Calibri" w:cs="Calibri"/>
          <w:b/>
          <w:sz w:val="32"/>
          <w:szCs w:val="32"/>
        </w:rPr>
        <w:t>7</w:t>
      </w:r>
    </w:p>
    <w:p w14:paraId="0D106AEC" w14:textId="77777777" w:rsidR="0059033F" w:rsidRPr="00243A2E" w:rsidRDefault="0059033F" w:rsidP="0059033F">
      <w:pPr>
        <w:tabs>
          <w:tab w:val="left" w:pos="1095"/>
        </w:tabs>
        <w:rPr>
          <w:rFonts w:ascii="Calibri" w:hAnsi="Calibri" w:cs="Calibri"/>
        </w:rPr>
      </w:pPr>
    </w:p>
    <w:p w14:paraId="49E291A3" w14:textId="58A7EC09" w:rsidR="00E926B5" w:rsidRDefault="00E926B5" w:rsidP="0059033F">
      <w:pPr>
        <w:tabs>
          <w:tab w:val="left" w:pos="1095"/>
        </w:tabs>
        <w:rPr>
          <w:rFonts w:ascii="Calibri" w:hAnsi="Calibri" w:cs="Calibri"/>
        </w:rPr>
      </w:pPr>
    </w:p>
    <w:p w14:paraId="3D17073C" w14:textId="74D809DF" w:rsidR="00B52405" w:rsidRDefault="00B52405" w:rsidP="0059033F">
      <w:pPr>
        <w:tabs>
          <w:tab w:val="left" w:pos="1095"/>
        </w:tabs>
        <w:rPr>
          <w:rFonts w:ascii="Calibri" w:hAnsi="Calibri" w:cs="Calibri"/>
        </w:rPr>
      </w:pPr>
    </w:p>
    <w:p w14:paraId="1EFFB397" w14:textId="529959D5" w:rsidR="00B52405" w:rsidRDefault="00B52405" w:rsidP="0059033F">
      <w:pPr>
        <w:tabs>
          <w:tab w:val="left" w:pos="1095"/>
        </w:tabs>
        <w:rPr>
          <w:rFonts w:ascii="Calibri" w:hAnsi="Calibri" w:cs="Calibri"/>
        </w:rPr>
      </w:pPr>
    </w:p>
    <w:p w14:paraId="60182023" w14:textId="1895BDCD" w:rsidR="00B52405" w:rsidRDefault="00B52405" w:rsidP="0059033F">
      <w:pPr>
        <w:tabs>
          <w:tab w:val="left" w:pos="1095"/>
        </w:tabs>
        <w:rPr>
          <w:rFonts w:ascii="Calibri" w:hAnsi="Calibri" w:cs="Calibri"/>
        </w:rPr>
      </w:pPr>
    </w:p>
    <w:p w14:paraId="439F2834" w14:textId="77777777" w:rsidR="00B52405" w:rsidRDefault="00B52405" w:rsidP="0059033F">
      <w:pPr>
        <w:tabs>
          <w:tab w:val="left" w:pos="1095"/>
        </w:tabs>
        <w:rPr>
          <w:rFonts w:ascii="Calibri" w:hAnsi="Calibri" w:cs="Calibri"/>
        </w:rPr>
      </w:pPr>
    </w:p>
    <w:p w14:paraId="61D326A6" w14:textId="77777777" w:rsidR="00B52405" w:rsidRPr="00243A2E" w:rsidRDefault="00B52405" w:rsidP="0059033F">
      <w:pPr>
        <w:tabs>
          <w:tab w:val="left" w:pos="1095"/>
        </w:tabs>
        <w:rPr>
          <w:rFonts w:ascii="Calibri" w:hAnsi="Calibri" w:cs="Calibri"/>
        </w:rPr>
      </w:pPr>
    </w:p>
    <w:p w14:paraId="13F9F302" w14:textId="77777777" w:rsidR="0059033F" w:rsidRPr="00243A2E" w:rsidRDefault="0059033F" w:rsidP="0059033F">
      <w:pPr>
        <w:tabs>
          <w:tab w:val="left" w:pos="1095"/>
        </w:tabs>
        <w:rPr>
          <w:rFonts w:ascii="Calibri" w:hAnsi="Calibri" w:cs="Calibri"/>
          <w:b/>
        </w:rPr>
      </w:pPr>
      <w:r w:rsidRPr="00243A2E">
        <w:rPr>
          <w:rFonts w:ascii="Calibri" w:hAnsi="Calibri" w:cs="Calibri"/>
          <w:b/>
        </w:rPr>
        <w:t xml:space="preserve">Article 1er – </w:t>
      </w:r>
      <w:r w:rsidR="00E926B5" w:rsidRPr="00243A2E">
        <w:rPr>
          <w:rFonts w:ascii="Calibri" w:hAnsi="Calibri" w:cs="Calibri"/>
          <w:b/>
        </w:rPr>
        <w:t>O</w:t>
      </w:r>
      <w:r w:rsidRPr="00243A2E">
        <w:rPr>
          <w:rFonts w:ascii="Calibri" w:hAnsi="Calibri" w:cs="Calibri"/>
          <w:b/>
        </w:rPr>
        <w:t>rganisation</w:t>
      </w:r>
      <w:r w:rsidR="00E926B5" w:rsidRPr="00243A2E">
        <w:rPr>
          <w:rFonts w:ascii="Calibri" w:hAnsi="Calibri" w:cs="Calibri"/>
          <w:b/>
        </w:rPr>
        <w:t xml:space="preserve"> </w:t>
      </w:r>
      <w:r w:rsidRPr="00243A2E">
        <w:rPr>
          <w:rFonts w:ascii="Calibri" w:hAnsi="Calibri" w:cs="Calibri"/>
          <w:b/>
        </w:rPr>
        <w:t xml:space="preserve">des enseignements </w:t>
      </w:r>
    </w:p>
    <w:p w14:paraId="76EC5091" w14:textId="46A53374" w:rsidR="0059033F" w:rsidRPr="00243A2E" w:rsidRDefault="0059033F" w:rsidP="0059033F">
      <w:pPr>
        <w:tabs>
          <w:tab w:val="left" w:pos="1095"/>
        </w:tabs>
        <w:rPr>
          <w:rFonts w:ascii="Calibri" w:hAnsi="Calibri" w:cs="Calibri"/>
        </w:rPr>
      </w:pPr>
      <w:r w:rsidRPr="00243A2E">
        <w:rPr>
          <w:rFonts w:ascii="Calibri" w:hAnsi="Calibri" w:cs="Calibri"/>
        </w:rPr>
        <w:t xml:space="preserve">Le master </w:t>
      </w:r>
      <w:r w:rsidR="00F304CB" w:rsidRPr="00243A2E">
        <w:rPr>
          <w:rFonts w:ascii="Calibri" w:hAnsi="Calibri" w:cs="Calibri"/>
        </w:rPr>
        <w:t>2</w:t>
      </w:r>
      <w:r w:rsidR="007A4F63">
        <w:rPr>
          <w:rFonts w:ascii="Calibri" w:hAnsi="Calibri" w:cs="Calibri"/>
        </w:rPr>
        <w:t xml:space="preserve"> Droit de l’entreprise, p</w:t>
      </w:r>
      <w:r w:rsidR="00F304CB" w:rsidRPr="00243A2E">
        <w:rPr>
          <w:rFonts w:ascii="Calibri" w:hAnsi="Calibri" w:cs="Calibri"/>
        </w:rPr>
        <w:t>arcours Contrats et contentieux d’affaires</w:t>
      </w:r>
      <w:r w:rsidRPr="00243A2E">
        <w:rPr>
          <w:rFonts w:ascii="Calibri" w:hAnsi="Calibri" w:cs="Calibri"/>
        </w:rPr>
        <w:t xml:space="preserve"> est composé des unités d’enseignement </w:t>
      </w:r>
      <w:r w:rsidR="00C25AF2">
        <w:rPr>
          <w:rFonts w:ascii="Calibri" w:hAnsi="Calibri" w:cs="Calibri"/>
        </w:rPr>
        <w:t xml:space="preserve">indiquées dans le tableau figurant à l’article 3. </w:t>
      </w:r>
    </w:p>
    <w:p w14:paraId="62DBB765" w14:textId="7D1A607E" w:rsidR="0059033F" w:rsidRDefault="0059033F" w:rsidP="0059033F">
      <w:pPr>
        <w:tabs>
          <w:tab w:val="left" w:pos="1095"/>
        </w:tabs>
        <w:rPr>
          <w:rFonts w:ascii="Calibri" w:hAnsi="Calibri" w:cs="Calibri"/>
        </w:rPr>
      </w:pPr>
    </w:p>
    <w:p w14:paraId="77F4B7EF" w14:textId="77777777" w:rsidR="006866BF" w:rsidRPr="00243A2E" w:rsidRDefault="006866BF" w:rsidP="0059033F">
      <w:pPr>
        <w:tabs>
          <w:tab w:val="left" w:pos="1095"/>
        </w:tabs>
        <w:rPr>
          <w:rFonts w:ascii="Calibri" w:hAnsi="Calibri" w:cs="Calibri"/>
        </w:rPr>
      </w:pPr>
    </w:p>
    <w:p w14:paraId="22178D1D" w14:textId="77777777" w:rsidR="0059033F" w:rsidRPr="00243A2E" w:rsidRDefault="0059033F" w:rsidP="0059033F">
      <w:pPr>
        <w:tabs>
          <w:tab w:val="left" w:pos="1095"/>
        </w:tabs>
        <w:rPr>
          <w:rFonts w:ascii="Calibri" w:hAnsi="Calibri" w:cs="Calibri"/>
          <w:b/>
        </w:rPr>
      </w:pPr>
      <w:r w:rsidRPr="00243A2E">
        <w:rPr>
          <w:rFonts w:ascii="Calibri" w:hAnsi="Calibri" w:cs="Calibri"/>
          <w:b/>
        </w:rPr>
        <w:t xml:space="preserve">Article 2 </w:t>
      </w:r>
      <w:r w:rsidR="00E926B5" w:rsidRPr="00243A2E">
        <w:rPr>
          <w:rFonts w:ascii="Calibri" w:hAnsi="Calibri" w:cs="Calibri"/>
          <w:b/>
        </w:rPr>
        <w:t>–</w:t>
      </w:r>
      <w:r w:rsidRPr="00243A2E">
        <w:rPr>
          <w:rFonts w:ascii="Calibri" w:hAnsi="Calibri" w:cs="Calibri"/>
          <w:b/>
        </w:rPr>
        <w:t xml:space="preserve"> Assiduité</w:t>
      </w:r>
    </w:p>
    <w:p w14:paraId="7C8D48D4" w14:textId="77777777" w:rsidR="0059033F" w:rsidRPr="00243A2E" w:rsidRDefault="00E926B5" w:rsidP="0059033F">
      <w:pPr>
        <w:tabs>
          <w:tab w:val="left" w:pos="1095"/>
        </w:tabs>
        <w:rPr>
          <w:rFonts w:ascii="Calibri" w:hAnsi="Calibri" w:cs="Calibri"/>
        </w:rPr>
      </w:pPr>
      <w:r w:rsidRPr="00243A2E">
        <w:rPr>
          <w:rFonts w:ascii="Calibri" w:hAnsi="Calibri" w:cs="Calibri"/>
        </w:rPr>
        <w:t>L</w:t>
      </w:r>
      <w:r w:rsidR="0059033F" w:rsidRPr="00243A2E">
        <w:rPr>
          <w:rFonts w:ascii="Calibri" w:hAnsi="Calibri" w:cs="Calibri"/>
        </w:rPr>
        <w:t>’assiduité à tous les cours et séminaires</w:t>
      </w:r>
      <w:r w:rsidRPr="00243A2E">
        <w:rPr>
          <w:rFonts w:ascii="Calibri" w:hAnsi="Calibri" w:cs="Calibri"/>
        </w:rPr>
        <w:t xml:space="preserve"> est obligatoire. </w:t>
      </w:r>
    </w:p>
    <w:p w14:paraId="532FEF2A" w14:textId="77777777" w:rsidR="0059033F" w:rsidRPr="00243A2E" w:rsidRDefault="0059033F" w:rsidP="0059033F">
      <w:pPr>
        <w:tabs>
          <w:tab w:val="left" w:pos="1095"/>
        </w:tabs>
        <w:rPr>
          <w:rFonts w:ascii="Calibri" w:hAnsi="Calibri" w:cs="Calibri"/>
        </w:rPr>
      </w:pPr>
      <w:r w:rsidRPr="00243A2E">
        <w:rPr>
          <w:rFonts w:ascii="Calibri" w:hAnsi="Calibri" w:cs="Calibri"/>
        </w:rPr>
        <w:t xml:space="preserve">L’étudiant peut, sur justificatif (certificats médicaux, contrats de travail en rapport avec la formation, entretiens en vue de l’obtention d’un stage), être exceptionnellement dispensé d’assiduité à certains cours ou séminaires par le responsable du Master. </w:t>
      </w:r>
    </w:p>
    <w:p w14:paraId="70F70BBA" w14:textId="7C7EA86F" w:rsidR="00B52405" w:rsidRDefault="00B5240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5089C6DF" w14:textId="77777777" w:rsidR="00F246FE" w:rsidRPr="00243A2E" w:rsidRDefault="00F246FE" w:rsidP="0059033F">
      <w:pPr>
        <w:tabs>
          <w:tab w:val="left" w:pos="1095"/>
        </w:tabs>
        <w:rPr>
          <w:rFonts w:ascii="Calibri" w:hAnsi="Calibri" w:cs="Calibri"/>
          <w:b/>
        </w:rPr>
      </w:pPr>
      <w:r w:rsidRPr="00243A2E">
        <w:rPr>
          <w:rFonts w:ascii="Calibri" w:hAnsi="Calibri" w:cs="Calibri"/>
          <w:b/>
        </w:rPr>
        <w:lastRenderedPageBreak/>
        <w:t>Article 3 – Modalités de contrôle des connaissances</w:t>
      </w:r>
    </w:p>
    <w:p w14:paraId="509F2CDB" w14:textId="24336F98" w:rsidR="00F246FE" w:rsidRPr="00243A2E" w:rsidRDefault="006A6130" w:rsidP="00F246FE">
      <w:pPr>
        <w:pStyle w:val="Paragraphedeliste"/>
        <w:numPr>
          <w:ilvl w:val="0"/>
          <w:numId w:val="1"/>
        </w:numPr>
        <w:tabs>
          <w:tab w:val="left" w:pos="1095"/>
        </w:tabs>
        <w:rPr>
          <w:rFonts w:ascii="Calibri" w:hAnsi="Calibri" w:cs="Calibri"/>
          <w:u w:val="single"/>
        </w:rPr>
      </w:pPr>
      <w:r w:rsidRPr="00243A2E">
        <w:rPr>
          <w:rFonts w:ascii="Calibri" w:hAnsi="Calibri" w:cs="Calibri"/>
          <w:u w:val="single"/>
        </w:rPr>
        <w:t>M</w:t>
      </w:r>
      <w:r w:rsidR="00F246FE" w:rsidRPr="00243A2E">
        <w:rPr>
          <w:rFonts w:ascii="Calibri" w:hAnsi="Calibri" w:cs="Calibri"/>
          <w:u w:val="single"/>
        </w:rPr>
        <w:t xml:space="preserve">odalités d’examens </w:t>
      </w: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2978"/>
        <w:gridCol w:w="4961"/>
        <w:gridCol w:w="1417"/>
        <w:gridCol w:w="1418"/>
      </w:tblGrid>
      <w:tr w:rsidR="00F246FE" w:rsidRPr="00501E8D" w14:paraId="344D3850" w14:textId="77777777" w:rsidTr="00B52405">
        <w:tc>
          <w:tcPr>
            <w:tcW w:w="2978" w:type="dxa"/>
            <w:vAlign w:val="center"/>
          </w:tcPr>
          <w:p w14:paraId="0588B138" w14:textId="77777777" w:rsidR="00F246FE" w:rsidRPr="00501E8D" w:rsidRDefault="00F246FE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1E8D">
              <w:rPr>
                <w:rFonts w:ascii="Calibri" w:hAnsi="Calibri" w:cs="Calibri"/>
                <w:b/>
                <w:sz w:val="20"/>
                <w:szCs w:val="20"/>
              </w:rPr>
              <w:t>Unité d’enseignement</w:t>
            </w:r>
          </w:p>
        </w:tc>
        <w:tc>
          <w:tcPr>
            <w:tcW w:w="4961" w:type="dxa"/>
            <w:vAlign w:val="center"/>
          </w:tcPr>
          <w:p w14:paraId="680354C8" w14:textId="68715076" w:rsidR="00F246FE" w:rsidRPr="00501E8D" w:rsidRDefault="00F246FE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1E8D">
              <w:rPr>
                <w:rFonts w:ascii="Calibri" w:hAnsi="Calibri" w:cs="Calibri"/>
                <w:b/>
                <w:sz w:val="20"/>
                <w:szCs w:val="20"/>
              </w:rPr>
              <w:t>Modalité</w:t>
            </w:r>
            <w:r w:rsidR="007A4F63" w:rsidRPr="00501E8D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501E8D">
              <w:rPr>
                <w:rFonts w:ascii="Calibri" w:hAnsi="Calibri" w:cs="Calibri"/>
                <w:b/>
                <w:sz w:val="20"/>
                <w:szCs w:val="20"/>
              </w:rPr>
              <w:t xml:space="preserve"> de contrôle des connaissance</w:t>
            </w:r>
            <w:r w:rsidR="007A4F63" w:rsidRPr="00501E8D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1417" w:type="dxa"/>
            <w:vAlign w:val="center"/>
          </w:tcPr>
          <w:p w14:paraId="62D879A3" w14:textId="76CA8424" w:rsidR="00F246FE" w:rsidRPr="00501E8D" w:rsidRDefault="00F246FE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1E8D">
              <w:rPr>
                <w:rFonts w:ascii="Calibri" w:hAnsi="Calibri" w:cs="Calibri"/>
                <w:b/>
                <w:sz w:val="20"/>
                <w:szCs w:val="20"/>
              </w:rPr>
              <w:t>Barème</w:t>
            </w:r>
          </w:p>
        </w:tc>
        <w:tc>
          <w:tcPr>
            <w:tcW w:w="1418" w:type="dxa"/>
            <w:vAlign w:val="center"/>
          </w:tcPr>
          <w:p w14:paraId="25BF3B28" w14:textId="77777777" w:rsidR="00F246FE" w:rsidRPr="00501E8D" w:rsidRDefault="00F246FE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01E8D">
              <w:rPr>
                <w:rFonts w:ascii="Calibri" w:hAnsi="Calibri" w:cs="Calibri"/>
                <w:b/>
                <w:sz w:val="20"/>
                <w:szCs w:val="20"/>
              </w:rPr>
              <w:t>Crédits ECTS</w:t>
            </w:r>
          </w:p>
        </w:tc>
      </w:tr>
      <w:tr w:rsidR="00F304CB" w:rsidRPr="00501E8D" w14:paraId="529B23B4" w14:textId="77777777" w:rsidTr="00B52405">
        <w:trPr>
          <w:trHeight w:val="492"/>
        </w:trPr>
        <w:tc>
          <w:tcPr>
            <w:tcW w:w="2978" w:type="dxa"/>
            <w:vMerge w:val="restart"/>
            <w:vAlign w:val="center"/>
          </w:tcPr>
          <w:p w14:paraId="1176132E" w14:textId="0BA03E18" w:rsidR="00F304CB" w:rsidRPr="00501E8D" w:rsidRDefault="00F304CB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UE 31 - Droit civil des contrats et </w:t>
            </w:r>
            <w:proofErr w:type="gramStart"/>
            <w:r w:rsidRPr="00501E8D">
              <w:rPr>
                <w:rFonts w:ascii="Calibri" w:hAnsi="Calibri" w:cs="Calibri"/>
                <w:sz w:val="20"/>
                <w:szCs w:val="20"/>
              </w:rPr>
              <w:t>de la responsabilité appliqué</w:t>
            </w:r>
            <w:proofErr w:type="gramEnd"/>
            <w:r w:rsidRPr="00501E8D">
              <w:rPr>
                <w:rFonts w:ascii="Calibri" w:hAnsi="Calibri" w:cs="Calibri"/>
                <w:sz w:val="20"/>
                <w:szCs w:val="20"/>
              </w:rPr>
              <w:t xml:space="preserve"> aux relations d’affaires </w:t>
            </w:r>
          </w:p>
        </w:tc>
        <w:tc>
          <w:tcPr>
            <w:tcW w:w="4961" w:type="dxa"/>
            <w:vAlign w:val="center"/>
          </w:tcPr>
          <w:p w14:paraId="79CA9570" w14:textId="6F82321A" w:rsidR="00F304CB" w:rsidRPr="00501E8D" w:rsidRDefault="00F304CB" w:rsidP="00F304CB">
            <w:p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Contrôle continu : moyennes des notes d’exposés et des travaux réalisés en cours de semestre</w:t>
            </w:r>
          </w:p>
        </w:tc>
        <w:tc>
          <w:tcPr>
            <w:tcW w:w="1417" w:type="dxa"/>
            <w:vAlign w:val="center"/>
          </w:tcPr>
          <w:p w14:paraId="6BD3DFB2" w14:textId="00010835" w:rsidR="00F304CB" w:rsidRPr="00501E8D" w:rsidRDefault="0065675D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</w:t>
            </w:r>
            <w:r w:rsidR="007A4F63" w:rsidRPr="00501E8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14:paraId="3A39B32A" w14:textId="01D26D2F" w:rsidR="00F304CB" w:rsidRPr="00501E8D" w:rsidRDefault="0065675D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F304CB" w:rsidRPr="00501E8D" w14:paraId="5A223F22" w14:textId="77777777" w:rsidTr="00B52405">
        <w:trPr>
          <w:trHeight w:val="492"/>
        </w:trPr>
        <w:tc>
          <w:tcPr>
            <w:tcW w:w="2978" w:type="dxa"/>
            <w:vMerge/>
            <w:vAlign w:val="center"/>
          </w:tcPr>
          <w:p w14:paraId="7F3CC938" w14:textId="77777777" w:rsidR="00F304CB" w:rsidRPr="00501E8D" w:rsidRDefault="00F304CB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5A006F77" w14:textId="6AA7F1D7" w:rsidR="00F304CB" w:rsidRPr="00501E8D" w:rsidRDefault="00F304CB" w:rsidP="00F304CB">
            <w:pPr>
              <w:tabs>
                <w:tab w:val="left" w:pos="1095"/>
              </w:tabs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Contrôle terminal : écrit de 3 heures</w:t>
            </w:r>
          </w:p>
        </w:tc>
        <w:tc>
          <w:tcPr>
            <w:tcW w:w="1417" w:type="dxa"/>
            <w:vAlign w:val="center"/>
          </w:tcPr>
          <w:p w14:paraId="5DC10776" w14:textId="2D948B6D" w:rsidR="00F304CB" w:rsidRPr="00501E8D" w:rsidRDefault="007A4F63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/25</w:t>
            </w:r>
          </w:p>
        </w:tc>
        <w:tc>
          <w:tcPr>
            <w:tcW w:w="1418" w:type="dxa"/>
            <w:vMerge/>
            <w:vAlign w:val="center"/>
          </w:tcPr>
          <w:p w14:paraId="514834E6" w14:textId="77777777" w:rsidR="00F304CB" w:rsidRPr="00501E8D" w:rsidRDefault="00F304CB" w:rsidP="00F246FE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5675D" w:rsidRPr="00501E8D" w14:paraId="70A6DEA0" w14:textId="77777777" w:rsidTr="00B52405">
        <w:tc>
          <w:tcPr>
            <w:tcW w:w="2978" w:type="dxa"/>
            <w:vAlign w:val="center"/>
          </w:tcPr>
          <w:p w14:paraId="24B59B3E" w14:textId="580DB920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32 - Les contrats de distribution</w:t>
            </w:r>
          </w:p>
        </w:tc>
        <w:tc>
          <w:tcPr>
            <w:tcW w:w="4961" w:type="dxa"/>
            <w:vAlign w:val="center"/>
          </w:tcPr>
          <w:p w14:paraId="66114DBF" w14:textId="269CF65B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Contrôle continu : moyennes des notes d’exposés et</w:t>
            </w:r>
            <w:r w:rsidR="002925F1" w:rsidRPr="00501E8D">
              <w:rPr>
                <w:rFonts w:ascii="Calibri" w:hAnsi="Calibri" w:cs="Calibri"/>
                <w:sz w:val="20"/>
                <w:szCs w:val="20"/>
              </w:rPr>
              <w:t>/ou</w:t>
            </w:r>
            <w:r w:rsidR="00B01532" w:rsidRPr="00501E8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01E8D">
              <w:rPr>
                <w:rFonts w:ascii="Calibri" w:hAnsi="Calibri" w:cs="Calibri"/>
                <w:sz w:val="20"/>
                <w:szCs w:val="20"/>
              </w:rPr>
              <w:t xml:space="preserve">des travaux réalisés en cours de semestre </w:t>
            </w:r>
            <w:r w:rsidR="00B01532" w:rsidRPr="00501E8D">
              <w:rPr>
                <w:rFonts w:ascii="Calibri" w:hAnsi="Calibri" w:cs="Calibri"/>
                <w:sz w:val="20"/>
                <w:szCs w:val="20"/>
              </w:rPr>
              <w:t xml:space="preserve">et/ou de participation orale </w:t>
            </w:r>
          </w:p>
        </w:tc>
        <w:tc>
          <w:tcPr>
            <w:tcW w:w="1417" w:type="dxa"/>
            <w:vAlign w:val="center"/>
          </w:tcPr>
          <w:p w14:paraId="40E08961" w14:textId="1AD78E08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010324C9" w14:textId="3EC80D44" w:rsidR="0065675D" w:rsidRPr="00501E8D" w:rsidRDefault="006A6130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01532" w:rsidRPr="00501E8D" w14:paraId="6FB9BAD4" w14:textId="77777777" w:rsidTr="00B52405">
        <w:tc>
          <w:tcPr>
            <w:tcW w:w="2978" w:type="dxa"/>
            <w:vAlign w:val="center"/>
          </w:tcPr>
          <w:p w14:paraId="4CB79563" w14:textId="2BBB503D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33 - Les contrats relatifs aux fonds de commerce et aux sociétés commerciales</w:t>
            </w:r>
          </w:p>
        </w:tc>
        <w:tc>
          <w:tcPr>
            <w:tcW w:w="4961" w:type="dxa"/>
            <w:vAlign w:val="center"/>
          </w:tcPr>
          <w:p w14:paraId="39EAE6AF" w14:textId="3BD8AAD9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Contrôle continu : moyennes des notes d’exposés et/ou des travaux réalisés en cours de semestre et/ou de participation orale </w:t>
            </w:r>
          </w:p>
        </w:tc>
        <w:tc>
          <w:tcPr>
            <w:tcW w:w="1417" w:type="dxa"/>
            <w:vAlign w:val="center"/>
          </w:tcPr>
          <w:p w14:paraId="03A09AC0" w14:textId="06F5D846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435D5CB1" w14:textId="1BB1D155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01532" w:rsidRPr="00501E8D" w14:paraId="51C65326" w14:textId="77777777" w:rsidTr="00B52405">
        <w:tc>
          <w:tcPr>
            <w:tcW w:w="2978" w:type="dxa"/>
            <w:vAlign w:val="center"/>
          </w:tcPr>
          <w:p w14:paraId="434150A0" w14:textId="1D7AD438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34 - Les contrats en ligne</w:t>
            </w:r>
          </w:p>
        </w:tc>
        <w:tc>
          <w:tcPr>
            <w:tcW w:w="4961" w:type="dxa"/>
            <w:vAlign w:val="center"/>
          </w:tcPr>
          <w:p w14:paraId="3BBEDC79" w14:textId="7D524DE1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Contrôle continu : moyennes des notes d’exposés et/ou des travaux réalisés en cours de semestre et/ou de participation orale </w:t>
            </w:r>
          </w:p>
        </w:tc>
        <w:tc>
          <w:tcPr>
            <w:tcW w:w="1417" w:type="dxa"/>
            <w:vAlign w:val="center"/>
          </w:tcPr>
          <w:p w14:paraId="241CD956" w14:textId="201A37BF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01CA87BF" w14:textId="0FB86560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01532" w:rsidRPr="00501E8D" w14:paraId="2B89F53B" w14:textId="77777777" w:rsidTr="00B52405">
        <w:tc>
          <w:tcPr>
            <w:tcW w:w="2978" w:type="dxa"/>
            <w:vAlign w:val="center"/>
          </w:tcPr>
          <w:p w14:paraId="4070AB74" w14:textId="7AC1E9FD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35 - Anglais juridique</w:t>
            </w:r>
          </w:p>
        </w:tc>
        <w:tc>
          <w:tcPr>
            <w:tcW w:w="4961" w:type="dxa"/>
            <w:vAlign w:val="center"/>
          </w:tcPr>
          <w:p w14:paraId="3D6E5908" w14:textId="342BBAB7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Contrôle continu : moyennes des notes d’exposés et/ou des travaux réalisés en cours de semestre et/ou de participation orale </w:t>
            </w:r>
          </w:p>
        </w:tc>
        <w:tc>
          <w:tcPr>
            <w:tcW w:w="1417" w:type="dxa"/>
            <w:vAlign w:val="center"/>
          </w:tcPr>
          <w:p w14:paraId="4D5A6438" w14:textId="67273D5A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1FC389CB" w14:textId="449CAC13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65675D" w:rsidRPr="00501E8D" w14:paraId="3A0C4D68" w14:textId="77777777" w:rsidTr="00B52405">
        <w:trPr>
          <w:trHeight w:val="595"/>
        </w:trPr>
        <w:tc>
          <w:tcPr>
            <w:tcW w:w="2978" w:type="dxa"/>
            <w:vMerge w:val="restart"/>
            <w:vAlign w:val="center"/>
          </w:tcPr>
          <w:p w14:paraId="6691B305" w14:textId="1D904BE7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UE 41 - Droit judiciaire privé appliqué aux relations d’affaires </w:t>
            </w:r>
          </w:p>
        </w:tc>
        <w:tc>
          <w:tcPr>
            <w:tcW w:w="4961" w:type="dxa"/>
            <w:vAlign w:val="center"/>
          </w:tcPr>
          <w:p w14:paraId="7E8DB7CE" w14:textId="6A28C1C3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Contrôle continu : moyennes des notes d’exposés et des travaux réalisés en cours de semestre</w:t>
            </w:r>
          </w:p>
        </w:tc>
        <w:tc>
          <w:tcPr>
            <w:tcW w:w="1417" w:type="dxa"/>
            <w:vAlign w:val="center"/>
          </w:tcPr>
          <w:p w14:paraId="1DD156BE" w14:textId="15382565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</w:t>
            </w:r>
            <w:r w:rsidR="007A4F63" w:rsidRPr="00501E8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1418" w:type="dxa"/>
            <w:vMerge w:val="restart"/>
            <w:vAlign w:val="center"/>
          </w:tcPr>
          <w:p w14:paraId="02F98913" w14:textId="21312D3E" w:rsidR="0065675D" w:rsidRPr="00501E8D" w:rsidRDefault="006A6130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</w:tr>
      <w:tr w:rsidR="0065675D" w:rsidRPr="00501E8D" w14:paraId="23F06F0A" w14:textId="77777777" w:rsidTr="00B52405">
        <w:trPr>
          <w:trHeight w:val="595"/>
        </w:trPr>
        <w:tc>
          <w:tcPr>
            <w:tcW w:w="2978" w:type="dxa"/>
            <w:vMerge/>
            <w:vAlign w:val="center"/>
          </w:tcPr>
          <w:p w14:paraId="4582E51B" w14:textId="77777777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14:paraId="499C19F2" w14:textId="729F50F7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Contrôle terminal : écrit de 3 heures</w:t>
            </w:r>
          </w:p>
        </w:tc>
        <w:tc>
          <w:tcPr>
            <w:tcW w:w="1417" w:type="dxa"/>
            <w:vAlign w:val="center"/>
          </w:tcPr>
          <w:p w14:paraId="049C35C1" w14:textId="1CC2F847" w:rsidR="0065675D" w:rsidRPr="00501E8D" w:rsidRDefault="007A4F63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/25</w:t>
            </w:r>
          </w:p>
        </w:tc>
        <w:tc>
          <w:tcPr>
            <w:tcW w:w="1418" w:type="dxa"/>
            <w:vMerge/>
            <w:vAlign w:val="center"/>
          </w:tcPr>
          <w:p w14:paraId="77C6E29C" w14:textId="77777777" w:rsidR="0065675D" w:rsidRPr="00501E8D" w:rsidRDefault="0065675D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01532" w:rsidRPr="00501E8D" w14:paraId="0ECCDC04" w14:textId="77777777" w:rsidTr="00B52405">
        <w:tc>
          <w:tcPr>
            <w:tcW w:w="2978" w:type="dxa"/>
            <w:vAlign w:val="center"/>
          </w:tcPr>
          <w:p w14:paraId="05026EC5" w14:textId="5401F1CD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42 - Contentieux international et européen des affaires</w:t>
            </w:r>
          </w:p>
        </w:tc>
        <w:tc>
          <w:tcPr>
            <w:tcW w:w="4961" w:type="dxa"/>
            <w:vAlign w:val="center"/>
          </w:tcPr>
          <w:p w14:paraId="496039D5" w14:textId="74CE7F94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Contrôle continu : moyennes des notes d’exposés et/ou des travaux réalisés en cours de semestre et/ou de participation orale </w:t>
            </w:r>
          </w:p>
        </w:tc>
        <w:tc>
          <w:tcPr>
            <w:tcW w:w="1417" w:type="dxa"/>
            <w:vAlign w:val="center"/>
          </w:tcPr>
          <w:p w14:paraId="0B97780C" w14:textId="3A6DD4EE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4CE52BC4" w14:textId="76A166A8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01532" w:rsidRPr="00501E8D" w14:paraId="1F50C52D" w14:textId="77777777" w:rsidTr="00B52405">
        <w:tc>
          <w:tcPr>
            <w:tcW w:w="2978" w:type="dxa"/>
            <w:vAlign w:val="center"/>
          </w:tcPr>
          <w:p w14:paraId="642148D0" w14:textId="0A9292F4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UE 43 – Contentieux </w:t>
            </w:r>
            <w:proofErr w:type="gramStart"/>
            <w:r w:rsidRPr="00501E8D">
              <w:rPr>
                <w:rFonts w:ascii="Calibri" w:hAnsi="Calibri" w:cs="Calibri"/>
                <w:sz w:val="20"/>
                <w:szCs w:val="20"/>
              </w:rPr>
              <w:t>répressif  (</w:t>
            </w:r>
            <w:proofErr w:type="gramEnd"/>
            <w:r w:rsidRPr="00501E8D">
              <w:rPr>
                <w:rFonts w:ascii="Calibri" w:hAnsi="Calibri" w:cs="Calibri"/>
                <w:sz w:val="20"/>
                <w:szCs w:val="20"/>
              </w:rPr>
              <w:t xml:space="preserve">interne) des affaires </w:t>
            </w:r>
          </w:p>
        </w:tc>
        <w:tc>
          <w:tcPr>
            <w:tcW w:w="4961" w:type="dxa"/>
            <w:vAlign w:val="center"/>
          </w:tcPr>
          <w:p w14:paraId="6BF338B7" w14:textId="1A32EFC7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Contrôle continu : moyennes des notes d’exposés et/ou des travaux réalisés en cours de semestre et/ou de participation orale </w:t>
            </w:r>
          </w:p>
        </w:tc>
        <w:tc>
          <w:tcPr>
            <w:tcW w:w="1417" w:type="dxa"/>
            <w:vAlign w:val="center"/>
          </w:tcPr>
          <w:p w14:paraId="6CD3A68F" w14:textId="1CAA2F7F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0EA9B350" w14:textId="28EC31A5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01532" w:rsidRPr="00501E8D" w14:paraId="52A532A0" w14:textId="77777777" w:rsidTr="00B52405">
        <w:tc>
          <w:tcPr>
            <w:tcW w:w="2978" w:type="dxa"/>
            <w:vAlign w:val="center"/>
          </w:tcPr>
          <w:p w14:paraId="78A92344" w14:textId="3FF79539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44 - Le juge et les auxiliaires de justice</w:t>
            </w:r>
          </w:p>
        </w:tc>
        <w:tc>
          <w:tcPr>
            <w:tcW w:w="4961" w:type="dxa"/>
            <w:vAlign w:val="center"/>
          </w:tcPr>
          <w:p w14:paraId="0BBAD254" w14:textId="489FDA28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Contrôle continu : moyennes des notes d’exposés et/ou des travaux réalisés en cours de semestre et/ou de participation orale </w:t>
            </w:r>
          </w:p>
        </w:tc>
        <w:tc>
          <w:tcPr>
            <w:tcW w:w="1417" w:type="dxa"/>
            <w:vAlign w:val="center"/>
          </w:tcPr>
          <w:p w14:paraId="1923A647" w14:textId="66786D2B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/20</w:t>
            </w:r>
          </w:p>
        </w:tc>
        <w:tc>
          <w:tcPr>
            <w:tcW w:w="1418" w:type="dxa"/>
            <w:vAlign w:val="center"/>
          </w:tcPr>
          <w:p w14:paraId="07AEA965" w14:textId="08394F1A" w:rsidR="00B01532" w:rsidRPr="00501E8D" w:rsidRDefault="00B01532" w:rsidP="00B01532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65675D" w:rsidRPr="00501E8D" w14:paraId="1C77847B" w14:textId="77777777" w:rsidTr="00B52405">
        <w:tc>
          <w:tcPr>
            <w:tcW w:w="2978" w:type="dxa"/>
            <w:vAlign w:val="center"/>
          </w:tcPr>
          <w:p w14:paraId="2694010A" w14:textId="6D666FA7" w:rsidR="0065675D" w:rsidRPr="00501E8D" w:rsidRDefault="006A6130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UE 45 - Stage ou mémoire</w:t>
            </w:r>
          </w:p>
        </w:tc>
        <w:tc>
          <w:tcPr>
            <w:tcW w:w="4961" w:type="dxa"/>
            <w:vAlign w:val="center"/>
          </w:tcPr>
          <w:p w14:paraId="16F8991A" w14:textId="4BBF6286" w:rsidR="0065675D" w:rsidRPr="00501E8D" w:rsidRDefault="006A6130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Remise d’un rapport de stage ou d’un mémoire</w:t>
            </w:r>
          </w:p>
        </w:tc>
        <w:tc>
          <w:tcPr>
            <w:tcW w:w="1417" w:type="dxa"/>
            <w:vAlign w:val="center"/>
          </w:tcPr>
          <w:p w14:paraId="5A164453" w14:textId="6A53BC64" w:rsidR="0065675D" w:rsidRPr="00501E8D" w:rsidRDefault="006A6130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 xml:space="preserve">/20 </w:t>
            </w:r>
          </w:p>
        </w:tc>
        <w:tc>
          <w:tcPr>
            <w:tcW w:w="1418" w:type="dxa"/>
            <w:vAlign w:val="center"/>
          </w:tcPr>
          <w:p w14:paraId="234801BD" w14:textId="296F2A43" w:rsidR="0065675D" w:rsidRPr="00501E8D" w:rsidRDefault="006A6130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7A4F63" w:rsidRPr="00501E8D" w14:paraId="033CBDC7" w14:textId="77777777" w:rsidTr="00B52405">
        <w:tc>
          <w:tcPr>
            <w:tcW w:w="7939" w:type="dxa"/>
            <w:gridSpan w:val="2"/>
            <w:vAlign w:val="center"/>
          </w:tcPr>
          <w:p w14:paraId="2A454BB3" w14:textId="77777777" w:rsidR="007A4F63" w:rsidRPr="00501E8D" w:rsidRDefault="007A4F63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F75ED84" w14:textId="752693FE" w:rsidR="007A4F63" w:rsidRPr="00501E8D" w:rsidRDefault="007A4F63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260</w:t>
            </w:r>
          </w:p>
        </w:tc>
        <w:tc>
          <w:tcPr>
            <w:tcW w:w="1418" w:type="dxa"/>
            <w:vAlign w:val="center"/>
          </w:tcPr>
          <w:p w14:paraId="2A25B27A" w14:textId="0DA50EFF" w:rsidR="007A4F63" w:rsidRPr="00501E8D" w:rsidRDefault="001A78B4" w:rsidP="0065675D">
            <w:pPr>
              <w:tabs>
                <w:tab w:val="left" w:pos="1095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1E8D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</w:tr>
    </w:tbl>
    <w:p w14:paraId="4C492B66" w14:textId="77777777" w:rsidR="00F246FE" w:rsidRPr="00243A2E" w:rsidRDefault="00F246FE" w:rsidP="0059033F">
      <w:pPr>
        <w:tabs>
          <w:tab w:val="left" w:pos="1095"/>
        </w:tabs>
        <w:rPr>
          <w:rFonts w:ascii="Calibri" w:hAnsi="Calibri" w:cs="Calibri"/>
        </w:rPr>
      </w:pPr>
    </w:p>
    <w:p w14:paraId="2E12B310" w14:textId="67F7DA7C" w:rsidR="00F246FE" w:rsidRPr="00243A2E" w:rsidRDefault="006A6130" w:rsidP="00F246FE">
      <w:pPr>
        <w:pStyle w:val="Paragraphedeliste"/>
        <w:numPr>
          <w:ilvl w:val="0"/>
          <w:numId w:val="1"/>
        </w:numPr>
        <w:tabs>
          <w:tab w:val="left" w:pos="1095"/>
        </w:tabs>
        <w:rPr>
          <w:rFonts w:ascii="Calibri" w:hAnsi="Calibri" w:cs="Calibri"/>
        </w:rPr>
      </w:pPr>
      <w:r w:rsidRPr="00243A2E">
        <w:rPr>
          <w:rFonts w:ascii="Calibri" w:hAnsi="Calibri" w:cs="Calibri"/>
          <w:u w:val="single"/>
        </w:rPr>
        <w:t>M</w:t>
      </w:r>
      <w:r w:rsidR="00F246FE" w:rsidRPr="00243A2E">
        <w:rPr>
          <w:rFonts w:ascii="Calibri" w:hAnsi="Calibri" w:cs="Calibri"/>
          <w:u w:val="single"/>
        </w:rPr>
        <w:t>odalités de validation des UE et de l’année</w:t>
      </w:r>
      <w:r w:rsidR="00F246FE" w:rsidRPr="00243A2E">
        <w:rPr>
          <w:rFonts w:ascii="Calibri" w:hAnsi="Calibri" w:cs="Calibri"/>
        </w:rPr>
        <w:t>.</w:t>
      </w:r>
    </w:p>
    <w:p w14:paraId="378C6C9F" w14:textId="0CA6DED7" w:rsidR="00771AB9" w:rsidRPr="00243A2E" w:rsidRDefault="00771AB9" w:rsidP="006A6130">
      <w:pPr>
        <w:tabs>
          <w:tab w:val="left" w:pos="1095"/>
        </w:tabs>
        <w:rPr>
          <w:rFonts w:ascii="Calibri" w:hAnsi="Calibri" w:cs="Calibri"/>
        </w:rPr>
      </w:pPr>
      <w:r w:rsidRPr="00243A2E">
        <w:rPr>
          <w:rFonts w:ascii="Calibri" w:hAnsi="Calibri" w:cs="Calibri"/>
        </w:rPr>
        <w:t xml:space="preserve">Le diplôme de Master </w:t>
      </w:r>
      <w:r w:rsidR="00F304CB" w:rsidRPr="00243A2E">
        <w:rPr>
          <w:rFonts w:ascii="Calibri" w:hAnsi="Calibri" w:cs="Calibri"/>
        </w:rPr>
        <w:t>2</w:t>
      </w:r>
      <w:r w:rsidR="00F304CB" w:rsidRPr="00243A2E">
        <w:rPr>
          <w:rFonts w:ascii="Calibri" w:hAnsi="Calibri" w:cs="Calibri"/>
          <w:b/>
          <w:sz w:val="32"/>
          <w:szCs w:val="32"/>
        </w:rPr>
        <w:t xml:space="preserve"> </w:t>
      </w:r>
      <w:r w:rsidR="00F304CB" w:rsidRPr="00243A2E">
        <w:rPr>
          <w:rFonts w:ascii="Calibri" w:hAnsi="Calibri" w:cs="Calibri"/>
        </w:rPr>
        <w:t xml:space="preserve">Parcours Contrats et contentieux d’affaires </w:t>
      </w:r>
      <w:r w:rsidRPr="00243A2E">
        <w:rPr>
          <w:rFonts w:ascii="Calibri" w:hAnsi="Calibri" w:cs="Calibri"/>
        </w:rPr>
        <w:t xml:space="preserve">est délivré aux candidats ayant obtenu, à l’issue de l’ensemble des épreuves, une moyenne générale d’au moins </w:t>
      </w:r>
      <w:r w:rsidR="00F304CB" w:rsidRPr="00243A2E">
        <w:rPr>
          <w:rFonts w:ascii="Calibri" w:hAnsi="Calibri" w:cs="Calibri"/>
        </w:rPr>
        <w:t>10</w:t>
      </w:r>
      <w:r w:rsidRPr="00243A2E">
        <w:rPr>
          <w:rFonts w:ascii="Calibri" w:hAnsi="Calibri" w:cs="Calibri"/>
        </w:rPr>
        <w:t xml:space="preserve"> sur </w:t>
      </w:r>
      <w:r w:rsidR="00F304CB" w:rsidRPr="00243A2E">
        <w:rPr>
          <w:rFonts w:ascii="Calibri" w:hAnsi="Calibri" w:cs="Calibri"/>
        </w:rPr>
        <w:t>20</w:t>
      </w:r>
      <w:r w:rsidR="007A4F63">
        <w:rPr>
          <w:rFonts w:ascii="Calibri" w:hAnsi="Calibri" w:cs="Calibri"/>
        </w:rPr>
        <w:t>, soit 130 points sur 260.</w:t>
      </w:r>
    </w:p>
    <w:p w14:paraId="212FE15C" w14:textId="77777777" w:rsidR="00771AB9" w:rsidRPr="00243A2E" w:rsidRDefault="00771AB9" w:rsidP="00771AB9">
      <w:pPr>
        <w:rPr>
          <w:rFonts w:ascii="Calibri" w:hAnsi="Calibri" w:cs="Calibri"/>
        </w:rPr>
      </w:pPr>
      <w:r w:rsidRPr="00243A2E">
        <w:rPr>
          <w:rFonts w:ascii="Calibri" w:hAnsi="Calibri" w:cs="Calibri"/>
        </w:rPr>
        <w:t>Les mentions du diplôme sont attribuées suivant l’échelle suivante :</w:t>
      </w:r>
    </w:p>
    <w:p w14:paraId="44E558D8" w14:textId="77777777" w:rsidR="00771AB9" w:rsidRPr="00243A2E" w:rsidRDefault="00771AB9" w:rsidP="00771AB9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243A2E">
        <w:rPr>
          <w:rFonts w:ascii="Calibri" w:hAnsi="Calibri" w:cs="Calibri"/>
        </w:rPr>
        <w:t>moyenne</w:t>
      </w:r>
      <w:proofErr w:type="gramEnd"/>
      <w:r w:rsidRPr="00243A2E">
        <w:rPr>
          <w:rFonts w:ascii="Calibri" w:hAnsi="Calibri" w:cs="Calibri"/>
        </w:rPr>
        <w:t xml:space="preserve"> d'ensemble au moins égale à 10 sur 20 : passable </w:t>
      </w:r>
    </w:p>
    <w:p w14:paraId="2D8E28D1" w14:textId="77777777" w:rsidR="00771AB9" w:rsidRPr="00243A2E" w:rsidRDefault="00771AB9" w:rsidP="00771AB9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243A2E">
        <w:rPr>
          <w:rFonts w:ascii="Calibri" w:hAnsi="Calibri" w:cs="Calibri"/>
        </w:rPr>
        <w:t>moyenne</w:t>
      </w:r>
      <w:proofErr w:type="gramEnd"/>
      <w:r w:rsidRPr="00243A2E">
        <w:rPr>
          <w:rFonts w:ascii="Calibri" w:hAnsi="Calibri" w:cs="Calibri"/>
        </w:rPr>
        <w:t xml:space="preserve"> d'ensemble au moins égale à 12 sur 20 : assez bien </w:t>
      </w:r>
    </w:p>
    <w:p w14:paraId="41C0A54E" w14:textId="77777777" w:rsidR="00771AB9" w:rsidRPr="00243A2E" w:rsidRDefault="00771AB9" w:rsidP="00771AB9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243A2E">
        <w:rPr>
          <w:rFonts w:ascii="Calibri" w:hAnsi="Calibri" w:cs="Calibri"/>
        </w:rPr>
        <w:t>moyenne</w:t>
      </w:r>
      <w:proofErr w:type="gramEnd"/>
      <w:r w:rsidRPr="00243A2E">
        <w:rPr>
          <w:rFonts w:ascii="Calibri" w:hAnsi="Calibri" w:cs="Calibri"/>
        </w:rPr>
        <w:t xml:space="preserve"> d'ensemble au moins égale à 14 sur 20 : bien </w:t>
      </w:r>
    </w:p>
    <w:p w14:paraId="169270D6" w14:textId="77777777" w:rsidR="00771AB9" w:rsidRPr="00243A2E" w:rsidRDefault="00771AB9" w:rsidP="00771AB9">
      <w:pPr>
        <w:pStyle w:val="Paragraphedeliste"/>
        <w:numPr>
          <w:ilvl w:val="0"/>
          <w:numId w:val="2"/>
        </w:numPr>
        <w:rPr>
          <w:rFonts w:ascii="Calibri" w:hAnsi="Calibri" w:cs="Calibri"/>
        </w:rPr>
      </w:pPr>
      <w:proofErr w:type="gramStart"/>
      <w:r w:rsidRPr="00243A2E">
        <w:rPr>
          <w:rFonts w:ascii="Calibri" w:hAnsi="Calibri" w:cs="Calibri"/>
        </w:rPr>
        <w:t>moyenne</w:t>
      </w:r>
      <w:proofErr w:type="gramEnd"/>
      <w:r w:rsidRPr="00243A2E">
        <w:rPr>
          <w:rFonts w:ascii="Calibri" w:hAnsi="Calibri" w:cs="Calibri"/>
        </w:rPr>
        <w:t xml:space="preserve"> d'ensemble au moins égale à 16 sur 20 : très bien.</w:t>
      </w:r>
    </w:p>
    <w:p w14:paraId="0AFF90DF" w14:textId="39BD5195" w:rsidR="00771AB9" w:rsidRDefault="00243A2E" w:rsidP="00243A2E">
      <w:pPr>
        <w:jc w:val="both"/>
        <w:rPr>
          <w:rFonts w:ascii="Calibri" w:hAnsi="Calibri" w:cs="Calibri"/>
        </w:rPr>
      </w:pPr>
      <w:r w:rsidRPr="00243A2E">
        <w:rPr>
          <w:rFonts w:ascii="Calibri" w:hAnsi="Calibri" w:cs="Calibri"/>
        </w:rPr>
        <w:t xml:space="preserve">L’obtention du diplôme est subordonnée à </w:t>
      </w:r>
      <w:r w:rsidR="001E12EC">
        <w:rPr>
          <w:rFonts w:ascii="Calibri" w:hAnsi="Calibri" w:cs="Calibri"/>
        </w:rPr>
        <w:t>la</w:t>
      </w:r>
      <w:r w:rsidRPr="00243A2E">
        <w:rPr>
          <w:rFonts w:ascii="Calibri" w:hAnsi="Calibri" w:cs="Calibri"/>
        </w:rPr>
        <w:t xml:space="preserve"> réalis</w:t>
      </w:r>
      <w:r w:rsidR="001E12EC">
        <w:rPr>
          <w:rFonts w:ascii="Calibri" w:hAnsi="Calibri" w:cs="Calibri"/>
        </w:rPr>
        <w:t>ation</w:t>
      </w:r>
      <w:r w:rsidRPr="00243A2E">
        <w:rPr>
          <w:rFonts w:ascii="Calibri" w:hAnsi="Calibri" w:cs="Calibri"/>
        </w:rPr>
        <w:t xml:space="preserve"> </w:t>
      </w:r>
      <w:r w:rsidR="001E12EC">
        <w:rPr>
          <w:rFonts w:ascii="Calibri" w:hAnsi="Calibri" w:cs="Calibri"/>
        </w:rPr>
        <w:t>d’</w:t>
      </w:r>
      <w:r w:rsidRPr="00243A2E">
        <w:rPr>
          <w:rFonts w:ascii="Calibri" w:hAnsi="Calibri" w:cs="Calibri"/>
        </w:rPr>
        <w:t xml:space="preserve">un stage ou </w:t>
      </w:r>
      <w:r w:rsidR="001E12EC">
        <w:rPr>
          <w:rFonts w:ascii="Calibri" w:hAnsi="Calibri" w:cs="Calibri"/>
        </w:rPr>
        <w:t>d’</w:t>
      </w:r>
      <w:r w:rsidRPr="00243A2E">
        <w:rPr>
          <w:rFonts w:ascii="Calibri" w:hAnsi="Calibri" w:cs="Calibri"/>
        </w:rPr>
        <w:t>un mémoire de recherche (UE 45).</w:t>
      </w:r>
    </w:p>
    <w:p w14:paraId="2EEFA5FC" w14:textId="77777777" w:rsidR="00501E8D" w:rsidRPr="00243A2E" w:rsidRDefault="00501E8D" w:rsidP="00243A2E">
      <w:pPr>
        <w:jc w:val="both"/>
        <w:rPr>
          <w:rFonts w:ascii="Calibri" w:hAnsi="Calibri" w:cs="Calibri"/>
        </w:rPr>
      </w:pPr>
    </w:p>
    <w:p w14:paraId="0965674C" w14:textId="77777777" w:rsidR="00094381" w:rsidRPr="00243A2E" w:rsidRDefault="00094381" w:rsidP="00094381">
      <w:pPr>
        <w:pStyle w:val="Paragraphedeliste"/>
        <w:numPr>
          <w:ilvl w:val="0"/>
          <w:numId w:val="1"/>
        </w:numPr>
        <w:rPr>
          <w:rFonts w:ascii="Calibri" w:hAnsi="Calibri" w:cs="Calibri"/>
          <w:b/>
        </w:rPr>
      </w:pPr>
      <w:r w:rsidRPr="00243A2E">
        <w:rPr>
          <w:rFonts w:ascii="Calibri" w:hAnsi="Calibri" w:cs="Calibri"/>
          <w:b/>
        </w:rPr>
        <w:t>Ajournement et session de rattrapage</w:t>
      </w:r>
    </w:p>
    <w:p w14:paraId="0E66ECA9" w14:textId="77777777" w:rsidR="00116421" w:rsidRPr="00116421" w:rsidRDefault="00116421" w:rsidP="00116421">
      <w:pPr>
        <w:jc w:val="both"/>
        <w:rPr>
          <w:rFonts w:ascii="Calibri" w:hAnsi="Calibri" w:cs="Calibri"/>
        </w:rPr>
      </w:pPr>
      <w:r w:rsidRPr="00116421">
        <w:rPr>
          <w:rFonts w:ascii="Calibri" w:hAnsi="Calibri" w:cs="Calibri"/>
        </w:rPr>
        <w:t xml:space="preserve">Si un étudiant n’a pas obtenu la moyenne générale, il est ajourné. </w:t>
      </w:r>
    </w:p>
    <w:p w14:paraId="1D91C68B" w14:textId="3395743F" w:rsidR="00116421" w:rsidRPr="00116421" w:rsidRDefault="003913FB" w:rsidP="00116421">
      <w:pPr>
        <w:jc w:val="both"/>
        <w:rPr>
          <w:rFonts w:ascii="Calibri" w:hAnsi="Calibri" w:cs="Calibri"/>
        </w:rPr>
      </w:pPr>
      <w:r w:rsidRPr="003913FB">
        <w:rPr>
          <w:rFonts w:ascii="Calibri" w:hAnsi="Calibri" w:cs="Calibri"/>
        </w:rPr>
        <w:t>Aucune session de rattrapage n’est organisée, sauf circonstances très exceptionnelles fondées sur des éléments objectifs et indépendants de la volonté de l’étudiant, appréciées par la codirection du Master.</w:t>
      </w:r>
      <w:r w:rsidR="00494E17">
        <w:rPr>
          <w:rFonts w:ascii="Calibri" w:hAnsi="Calibri" w:cs="Calibri"/>
        </w:rPr>
        <w:t xml:space="preserve"> </w:t>
      </w:r>
      <w:r w:rsidR="00494E17" w:rsidRPr="00494E17">
        <w:rPr>
          <w:rFonts w:ascii="Calibri" w:hAnsi="Calibri" w:cs="Calibri"/>
        </w:rPr>
        <w:t>Les modalités et dates des éventuelles épreuves de rattrapage sont déterminées par la codirection du Master</w:t>
      </w:r>
      <w:r w:rsidR="00116421" w:rsidRPr="00116421">
        <w:rPr>
          <w:rFonts w:ascii="Calibri" w:hAnsi="Calibri" w:cs="Calibri"/>
        </w:rPr>
        <w:t>.</w:t>
      </w:r>
    </w:p>
    <w:p w14:paraId="58B0C831" w14:textId="61EB1894" w:rsidR="00116421" w:rsidRDefault="00116421" w:rsidP="003E3CDE">
      <w:pPr>
        <w:jc w:val="both"/>
        <w:rPr>
          <w:rFonts w:ascii="Calibri" w:hAnsi="Calibri" w:cs="Calibri"/>
        </w:rPr>
      </w:pPr>
      <w:r w:rsidRPr="00116421">
        <w:rPr>
          <w:rFonts w:ascii="Calibri" w:hAnsi="Calibri" w:cs="Calibri"/>
        </w:rPr>
        <w:t>Aucun redoublement n’est admis, sauf circonstances exceptionnelles à l’appréciation du jury.</w:t>
      </w:r>
    </w:p>
    <w:p w14:paraId="131AC3CE" w14:textId="77777777" w:rsidR="00116421" w:rsidRPr="00243A2E" w:rsidRDefault="00116421" w:rsidP="003E3CDE">
      <w:pPr>
        <w:jc w:val="both"/>
        <w:rPr>
          <w:rFonts w:ascii="Calibri" w:hAnsi="Calibri" w:cs="Calibri"/>
        </w:rPr>
      </w:pPr>
    </w:p>
    <w:p w14:paraId="3D03F3C9" w14:textId="77777777" w:rsidR="00771AB9" w:rsidRPr="00243A2E" w:rsidRDefault="00771AB9" w:rsidP="00771AB9">
      <w:pPr>
        <w:tabs>
          <w:tab w:val="left" w:pos="1095"/>
        </w:tabs>
        <w:rPr>
          <w:rFonts w:ascii="Calibri" w:hAnsi="Calibri" w:cs="Calibri"/>
          <w:b/>
        </w:rPr>
      </w:pPr>
      <w:r w:rsidRPr="00243A2E">
        <w:rPr>
          <w:rFonts w:ascii="Calibri" w:hAnsi="Calibri" w:cs="Calibri"/>
          <w:b/>
        </w:rPr>
        <w:t>Article 4 – Stage</w:t>
      </w:r>
    </w:p>
    <w:p w14:paraId="5457841D" w14:textId="04D667BE" w:rsidR="00D11474" w:rsidRPr="00243A2E" w:rsidRDefault="00243A2E" w:rsidP="00116421">
      <w:pPr>
        <w:jc w:val="both"/>
        <w:rPr>
          <w:rFonts w:ascii="Calibri" w:hAnsi="Calibri" w:cs="Calibri"/>
        </w:rPr>
      </w:pPr>
      <w:r w:rsidRPr="00243A2E">
        <w:rPr>
          <w:rFonts w:ascii="Calibri" w:hAnsi="Calibri" w:cs="Calibri"/>
        </w:rPr>
        <w:t>Le stage est d’une durée minimum de 12 semaines et doit être réalisé, aux durées prévues à cet effet, dans un organisme d’accueil traitant de questions de droit des affaires.</w:t>
      </w:r>
    </w:p>
    <w:sectPr w:rsidR="00D11474" w:rsidRPr="00243A2E" w:rsidSect="00501E8D">
      <w:headerReference w:type="default" r:id="rId8"/>
      <w:pgSz w:w="11906" w:h="16838"/>
      <w:pgMar w:top="24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D058" w14:textId="77777777" w:rsidR="00B50A82" w:rsidRDefault="00B50A82" w:rsidP="004C2611">
      <w:pPr>
        <w:spacing w:after="0" w:line="240" w:lineRule="auto"/>
      </w:pPr>
      <w:r>
        <w:separator/>
      </w:r>
    </w:p>
  </w:endnote>
  <w:endnote w:type="continuationSeparator" w:id="0">
    <w:p w14:paraId="799A7A5A" w14:textId="77777777" w:rsidR="00B50A82" w:rsidRDefault="00B50A82" w:rsidP="004C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altName w:val="Segoe Script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Ubuntu">
    <w:altName w:val="Segoe Script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FB57" w14:textId="77777777" w:rsidR="00B50A82" w:rsidRDefault="00B50A82" w:rsidP="004C2611">
      <w:pPr>
        <w:spacing w:after="0" w:line="240" w:lineRule="auto"/>
      </w:pPr>
      <w:r>
        <w:separator/>
      </w:r>
    </w:p>
  </w:footnote>
  <w:footnote w:type="continuationSeparator" w:id="0">
    <w:p w14:paraId="6A522BA7" w14:textId="77777777" w:rsidR="00B50A82" w:rsidRDefault="00B50A82" w:rsidP="004C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92" w:type="dxa"/>
      <w:tblInd w:w="16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66"/>
      <w:gridCol w:w="3184"/>
      <w:gridCol w:w="421"/>
      <w:gridCol w:w="2621"/>
    </w:tblGrid>
    <w:tr w:rsidR="004C2611" w:rsidRPr="004673C0" w14:paraId="53526719" w14:textId="77777777" w:rsidTr="004C2611">
      <w:trPr>
        <w:trHeight w:val="272"/>
      </w:trPr>
      <w:tc>
        <w:tcPr>
          <w:tcW w:w="1966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14:paraId="4C566204" w14:textId="77777777" w:rsidR="004C2611" w:rsidRPr="004673C0" w:rsidRDefault="004C2611" w:rsidP="004C2611">
          <w:pPr>
            <w:rPr>
              <w:rFonts w:ascii="Ubuntu Light" w:hAnsi="Ubuntu Light"/>
            </w:rPr>
          </w:pPr>
          <w:r w:rsidRPr="00CE1B6A">
            <w:rPr>
              <w:rFonts w:ascii="Ubuntu Light" w:hAnsi="Ubuntu Light"/>
              <w:noProof/>
            </w:rPr>
            <w:drawing>
              <wp:inline distT="0" distB="0" distL="0" distR="0" wp14:anchorId="238F2B64" wp14:editId="46806894">
                <wp:extent cx="1014095" cy="397510"/>
                <wp:effectExtent l="0" t="0" r="0" b="0"/>
                <wp:docPr id="7" name="Image 7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4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14:paraId="28FB1396" w14:textId="77777777" w:rsidR="004C2611" w:rsidRPr="004673C0" w:rsidRDefault="004C2611" w:rsidP="004C2611">
          <w:pPr>
            <w:pStyle w:val="UNICAEN"/>
          </w:pPr>
          <w:r w:rsidRPr="004673C0">
            <w:t xml:space="preserve">UniversitÉ de Caen </w:t>
          </w:r>
          <w:r>
            <w:t xml:space="preserve">· </w:t>
          </w:r>
          <w:r w:rsidRPr="004673C0">
            <w:t>Normandie</w:t>
          </w:r>
        </w:p>
      </w:tc>
      <w:tc>
        <w:tcPr>
          <w:tcW w:w="421" w:type="dxa"/>
          <w:vMerge w:val="restart"/>
          <w:shd w:val="clear" w:color="auto" w:fill="auto"/>
          <w:vAlign w:val="center"/>
        </w:tcPr>
        <w:p w14:paraId="432B3D0E" w14:textId="77777777" w:rsidR="004C2611" w:rsidRPr="004673C0" w:rsidRDefault="004C2611" w:rsidP="004C2611">
          <w:pPr>
            <w:rPr>
              <w:rFonts w:ascii="Ubuntu Light" w:hAnsi="Ubuntu Light"/>
            </w:rPr>
          </w:pPr>
        </w:p>
      </w:tc>
      <w:tc>
        <w:tcPr>
          <w:tcW w:w="2621" w:type="dxa"/>
          <w:shd w:val="clear" w:color="auto" w:fill="auto"/>
          <w:vAlign w:val="center"/>
        </w:tcPr>
        <w:p w14:paraId="6CD21A93" w14:textId="77777777" w:rsidR="004C2611" w:rsidRPr="004673C0" w:rsidRDefault="004C2611" w:rsidP="004C2611">
          <w:pPr>
            <w:pStyle w:val="LieuDate"/>
          </w:pPr>
        </w:p>
      </w:tc>
    </w:tr>
    <w:tr w:rsidR="004C2611" w:rsidRPr="004673C0" w14:paraId="39B3DB13" w14:textId="77777777" w:rsidTr="004C2611">
      <w:trPr>
        <w:trHeight w:val="272"/>
      </w:trPr>
      <w:tc>
        <w:tcPr>
          <w:tcW w:w="1966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14:paraId="1B4A00ED" w14:textId="77777777" w:rsidR="004C2611" w:rsidRPr="004673C0" w:rsidRDefault="004C2611" w:rsidP="004C2611">
          <w:pPr>
            <w:rPr>
              <w:rFonts w:ascii="Ubuntu Light" w:hAnsi="Ubuntu Light"/>
            </w:rPr>
          </w:pPr>
        </w:p>
      </w:tc>
      <w:tc>
        <w:tcPr>
          <w:tcW w:w="3184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14:paraId="01124B95" w14:textId="77777777" w:rsidR="004C2611" w:rsidRPr="004673C0" w:rsidRDefault="004C2611" w:rsidP="004C2611">
          <w:pPr>
            <w:pStyle w:val="Composante"/>
          </w:pPr>
          <w:r>
            <w:t>UFR DE Droit, AES et administration Publique</w:t>
          </w:r>
        </w:p>
      </w:tc>
      <w:tc>
        <w:tcPr>
          <w:tcW w:w="421" w:type="dxa"/>
          <w:vMerge/>
          <w:shd w:val="clear" w:color="auto" w:fill="auto"/>
          <w:vAlign w:val="center"/>
        </w:tcPr>
        <w:p w14:paraId="35EA518C" w14:textId="77777777" w:rsidR="004C2611" w:rsidRPr="004673C0" w:rsidRDefault="004C2611" w:rsidP="004C2611">
          <w:pPr>
            <w:rPr>
              <w:rFonts w:ascii="Ubuntu Light" w:hAnsi="Ubuntu Light"/>
            </w:rPr>
          </w:pPr>
        </w:p>
      </w:tc>
      <w:tc>
        <w:tcPr>
          <w:tcW w:w="2621" w:type="dxa"/>
          <w:shd w:val="clear" w:color="auto" w:fill="auto"/>
          <w:vAlign w:val="center"/>
        </w:tcPr>
        <w:p w14:paraId="79472719" w14:textId="77777777" w:rsidR="004C2611" w:rsidRPr="004673C0" w:rsidRDefault="004C2611" w:rsidP="004C2611">
          <w:pPr>
            <w:rPr>
              <w:rFonts w:ascii="Ubuntu Light" w:hAnsi="Ubuntu Light"/>
            </w:rPr>
          </w:pPr>
        </w:p>
      </w:tc>
    </w:tr>
  </w:tbl>
  <w:p w14:paraId="43E83E72" w14:textId="77777777" w:rsidR="004C2611" w:rsidRDefault="004C26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3E4"/>
    <w:multiLevelType w:val="hybridMultilevel"/>
    <w:tmpl w:val="9650FD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F33C7"/>
    <w:multiLevelType w:val="hybridMultilevel"/>
    <w:tmpl w:val="7B501D04"/>
    <w:lvl w:ilvl="0" w:tplc="8AE285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25CA"/>
    <w:multiLevelType w:val="hybridMultilevel"/>
    <w:tmpl w:val="DDBCF65C"/>
    <w:lvl w:ilvl="0" w:tplc="0E589718">
      <w:start w:val="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11"/>
    <w:rsid w:val="0005679C"/>
    <w:rsid w:val="00094381"/>
    <w:rsid w:val="00116421"/>
    <w:rsid w:val="001A78B4"/>
    <w:rsid w:val="001E12EC"/>
    <w:rsid w:val="00243A2E"/>
    <w:rsid w:val="00263B01"/>
    <w:rsid w:val="002925F1"/>
    <w:rsid w:val="00296E0C"/>
    <w:rsid w:val="00375AA2"/>
    <w:rsid w:val="003913FB"/>
    <w:rsid w:val="003E3CDE"/>
    <w:rsid w:val="00494E17"/>
    <w:rsid w:val="004C2611"/>
    <w:rsid w:val="00501E8D"/>
    <w:rsid w:val="0059033F"/>
    <w:rsid w:val="0065675D"/>
    <w:rsid w:val="006866BF"/>
    <w:rsid w:val="006A6130"/>
    <w:rsid w:val="00771AB9"/>
    <w:rsid w:val="007A4F63"/>
    <w:rsid w:val="00887684"/>
    <w:rsid w:val="00B01532"/>
    <w:rsid w:val="00B50A82"/>
    <w:rsid w:val="00B52405"/>
    <w:rsid w:val="00BA011E"/>
    <w:rsid w:val="00C25AF2"/>
    <w:rsid w:val="00D11474"/>
    <w:rsid w:val="00E926B5"/>
    <w:rsid w:val="00F2335B"/>
    <w:rsid w:val="00F246FE"/>
    <w:rsid w:val="00F3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0CD00"/>
  <w15:chartTrackingRefBased/>
  <w15:docId w15:val="{15ED9509-1A82-450E-A93E-80871192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611"/>
  </w:style>
  <w:style w:type="paragraph" w:styleId="Pieddepage">
    <w:name w:val="footer"/>
    <w:basedOn w:val="Normal"/>
    <w:link w:val="PieddepageCar"/>
    <w:uiPriority w:val="99"/>
    <w:unhideWhenUsed/>
    <w:rsid w:val="004C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611"/>
  </w:style>
  <w:style w:type="paragraph" w:customStyle="1" w:styleId="UNICAEN">
    <w:name w:val="UNICAEN"/>
    <w:basedOn w:val="Normal"/>
    <w:link w:val="UNICAENCar"/>
    <w:uiPriority w:val="71"/>
    <w:qFormat/>
    <w:rsid w:val="004C2611"/>
    <w:pPr>
      <w:spacing w:after="0" w:line="240" w:lineRule="auto"/>
      <w:ind w:left="113"/>
    </w:pPr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Composante">
    <w:name w:val="Composante"/>
    <w:basedOn w:val="Normal"/>
    <w:link w:val="ComposanteCar"/>
    <w:uiPriority w:val="72"/>
    <w:qFormat/>
    <w:rsid w:val="004C2611"/>
    <w:pPr>
      <w:spacing w:before="113" w:after="0" w:line="312" w:lineRule="auto"/>
      <w:ind w:left="113"/>
    </w:pPr>
    <w:rPr>
      <w:rFonts w:ascii="Ubuntu" w:eastAsia="Calibri" w:hAnsi="Ubuntu" w:cs="Times New Roman"/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4C2611"/>
    <w:rPr>
      <w:rFonts w:ascii="Ubuntu Light" w:eastAsia="Calibri" w:hAnsi="Ubuntu Light" w:cs="Times New Roman"/>
      <w:caps/>
      <w:spacing w:val="14"/>
      <w:sz w:val="12"/>
      <w:szCs w:val="12"/>
    </w:rPr>
  </w:style>
  <w:style w:type="paragraph" w:customStyle="1" w:styleId="LieuDate">
    <w:name w:val="Lieu&amp;Date"/>
    <w:basedOn w:val="Normal"/>
    <w:link w:val="LieuDateCar"/>
    <w:uiPriority w:val="3"/>
    <w:qFormat/>
    <w:rsid w:val="004C2611"/>
    <w:pPr>
      <w:spacing w:after="0" w:line="312" w:lineRule="auto"/>
    </w:pPr>
    <w:rPr>
      <w:rFonts w:ascii="Ubuntu Light" w:eastAsia="Calibri" w:hAnsi="Ubuntu Light" w:cs="Times New Roman"/>
      <w:sz w:val="16"/>
      <w:szCs w:val="16"/>
    </w:rPr>
  </w:style>
  <w:style w:type="character" w:customStyle="1" w:styleId="ComposanteCar">
    <w:name w:val="Composante Car"/>
    <w:link w:val="Composante"/>
    <w:uiPriority w:val="72"/>
    <w:rsid w:val="004C2611"/>
    <w:rPr>
      <w:rFonts w:ascii="Ubuntu" w:eastAsia="Calibri" w:hAnsi="Ubuntu" w:cs="Times New Roman"/>
      <w:b/>
      <w:caps/>
      <w:spacing w:val="14"/>
      <w:sz w:val="12"/>
    </w:rPr>
  </w:style>
  <w:style w:type="character" w:customStyle="1" w:styleId="LieuDateCar">
    <w:name w:val="Lieu&amp;Date Car"/>
    <w:link w:val="LieuDate"/>
    <w:uiPriority w:val="3"/>
    <w:rsid w:val="004C2611"/>
    <w:rPr>
      <w:rFonts w:ascii="Ubuntu Light" w:eastAsia="Calibri" w:hAnsi="Ubuntu Light" w:cs="Times New Roman"/>
      <w:sz w:val="16"/>
      <w:szCs w:val="16"/>
    </w:rPr>
  </w:style>
  <w:style w:type="table" w:styleId="Grilledutableau">
    <w:name w:val="Table Grid"/>
    <w:basedOn w:val="TableauNormal"/>
    <w:uiPriority w:val="39"/>
    <w:rsid w:val="00F2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Universit? de Caen Normandie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Corentin Camax</dc:creator>
  <cp:keywords/>
  <dc:description/>
  <cp:lastModifiedBy>Charlotte Samuel Biyoghe Carrieu</cp:lastModifiedBy>
  <cp:revision>2</cp:revision>
  <dcterms:created xsi:type="dcterms:W3CDTF">2024-09-02T07:29:00Z</dcterms:created>
  <dcterms:modified xsi:type="dcterms:W3CDTF">2024-09-02T07:29:00Z</dcterms:modified>
</cp:coreProperties>
</file>